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03549.xml.htm"/>
      <w:bookmarkStart w:id="1" w:name="kswkform4_17895035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Feng Xudong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436 SEVENTH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Koppers Holdings Inc.</w:t>
              </w:r>
            </w:hyperlink>
            <w:r>
              <w:rPr/>
              <w:t xml:space="preserve"> [ </w:t>
            </w:r>
            <w:r>
              <w:rPr>
                <w:rFonts w:ascii="Times;serif" w:hAnsi="Times;serif"/>
                <w:color w:val="0000FF"/>
                <w:sz w:val="24"/>
                <w:shd w:fill="FFFFFF" w:val="clear"/>
              </w:rPr>
              <w:t>KOP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6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32.946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444.837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("DERs") accrued with respect to additional restricted stock units ("RSUs") credited to the reporting person with respect to deferred compensation. Each DER is the economic equivalent of one share of Koppers Holdings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Once released, the RSUs corresponding to these DERs will become payable according to the election of payment designation that was filed by the reporting person subject to the Koppers Holdings Inc. Director Deferred Compensation Plan (the "Plan"). Such payment will be either lump sum or in annual installments commencing on the May 31st next following the reporting person's separation from service (as defined under the Plan) or, if later, and elected by the reporting person at the time he/she first elects to defer any payment under the Plan, May 31st of the year specified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L. Apostolou,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3649" TargetMode="External"/><Relationship Id="rId5" Type="http://schemas.openxmlformats.org/officeDocument/2006/relationships/hyperlink" Target="http://www.sec.gov/cgi-bin/browse-edgar?action=getcompany&amp;CIK=0001315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3831</Characters>
  <CharactersWithSpaces>4466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