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534.xml.htm"/>
      <w:bookmarkStart w:id="1" w:name="kswkform4_17872565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BALL M LEROY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743"/>
        <w:gridCol w:w="157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45.84</w:t>
            </w:r>
          </w:p>
        </w:tc>
        <w:tc>
          <w:tcPr>
            <w:tcW w:w="1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433,555.4007</w:t>
            </w:r>
            <w:r>
              <w:rPr>
                <w:rFonts w:ascii="Times;serif" w:hAnsi="Times;serif"/>
                <w:color w:val="008000"/>
                <w:position w:val="7"/>
                <w:sz w:val="16"/>
                <w:sz w:val="20"/>
                <w:shd w:fill="FFFFFF" w:val="clear"/>
              </w:rPr>
              <w:t>(1)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312 shares of Koppers Holdings Inc. common stock acquired pursuant to the Koppers Holdings Inc. Employee Stock Purchase Plan on June 30, 2026. These acquisitions were exempt under both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771"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3265</Characters>
  <CharactersWithSpaces>3797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