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Koppers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JEFFREY JACOBOWITZ</w:t>
              <w:br/>
              <w:t>SIMCOE CAPITAL MANAGEMENT, LLC, 540 Madison Avenue, 27th Floor</w:t>
              <w:br/>
              <w:t>New York, NY, 10022</w:t>
              <w:br/>
              <w:t>212-448-7400</w:t>
            </w:r>
          </w:p>
          <w:p>
            <w:pPr>
              <w:pStyle w:val="TableContents"/>
              <w:bidi w:val="0"/>
              <w:jc w:val="left"/>
              <w:rPr/>
            </w:pPr>
            <w:r>
              <w:rPr/>
            </w:r>
          </w:p>
          <w:p>
            <w:pPr>
              <w:pStyle w:val="TableContents"/>
              <w:bidi w:val="0"/>
              <w:spacing w:before="0" w:after="0"/>
              <w:jc w:val="center"/>
              <w:rPr>
                <w:b/>
                <w:color w:val="0000FF"/>
              </w:rPr>
            </w:pPr>
            <w:r>
              <w:rPr>
                <w:b/>
                <w:color w:val="0000FF"/>
              </w:rPr>
              <w:t>STEVE WOLOSKY &amp; IAN ENGORON</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10/20/2026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Capital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1,063,279.00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1,063,279.00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1,063,279.00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PARTNERS L 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873,494.00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873,494.00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873,494.00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4.6 %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Select,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154,000.00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154,000.00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154,000.00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68"/>
        <w:gridCol w:w="7937"/>
      </w:tblGrid>
      <w:tr>
        <w:trPr/>
        <w:tc>
          <w:tcPr>
            <w:tcW w:w="2268" w:type="dxa"/>
            <w:tcBorders/>
            <w:vAlign w:val="center"/>
          </w:tcPr>
          <w:p>
            <w:pPr>
              <w:pStyle w:val="TableContents"/>
              <w:bidi w:val="0"/>
              <w:spacing w:before="0" w:after="283"/>
              <w:jc w:val="left"/>
              <w:rPr/>
            </w:pPr>
            <w:r>
              <w:rPr/>
              <w:t>1</w:t>
            </w:r>
          </w:p>
        </w:tc>
        <w:tc>
          <w:tcPr>
            <w:tcW w:w="7937"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SIMCOE MANAGEMENT COMPANY, LLC</w:t>
            </w:r>
          </w:p>
        </w:tc>
      </w:tr>
      <w:tr>
        <w:trPr/>
        <w:tc>
          <w:tcPr>
            <w:tcW w:w="2268" w:type="dxa"/>
            <w:tcBorders/>
            <w:vAlign w:val="center"/>
          </w:tcPr>
          <w:p>
            <w:pPr>
              <w:pStyle w:val="TableContents"/>
              <w:bidi w:val="0"/>
              <w:spacing w:before="0" w:after="283"/>
              <w:jc w:val="left"/>
              <w:rPr/>
            </w:pPr>
            <w:r>
              <w:rPr/>
              <w:t>2</w:t>
            </w:r>
          </w:p>
        </w:tc>
        <w:tc>
          <w:tcPr>
            <w:tcW w:w="793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68" w:type="dxa"/>
            <w:tcBorders/>
            <w:vAlign w:val="center"/>
          </w:tcPr>
          <w:p>
            <w:pPr>
              <w:pStyle w:val="TableContents"/>
              <w:bidi w:val="0"/>
              <w:spacing w:before="0" w:after="283"/>
              <w:jc w:val="left"/>
              <w:rPr/>
            </w:pPr>
            <w:r>
              <w:rPr/>
              <w:t>3</w:t>
            </w:r>
          </w:p>
        </w:tc>
        <w:tc>
          <w:tcPr>
            <w:tcW w:w="7937" w:type="dxa"/>
            <w:tcBorders/>
            <w:vAlign w:val="center"/>
          </w:tcPr>
          <w:p>
            <w:pPr>
              <w:pStyle w:val="TableContents"/>
              <w:bidi w:val="0"/>
              <w:spacing w:before="0" w:after="283"/>
              <w:jc w:val="left"/>
              <w:rPr/>
            </w:pPr>
            <w:r>
              <w:rPr/>
              <w:t>SEC use only</w:t>
            </w:r>
          </w:p>
        </w:tc>
      </w:tr>
      <w:tr>
        <w:trPr/>
        <w:tc>
          <w:tcPr>
            <w:tcW w:w="2268" w:type="dxa"/>
            <w:tcBorders/>
            <w:vAlign w:val="center"/>
          </w:tcPr>
          <w:p>
            <w:pPr>
              <w:pStyle w:val="TableContents"/>
              <w:bidi w:val="0"/>
              <w:spacing w:before="0" w:after="283"/>
              <w:jc w:val="left"/>
              <w:rPr/>
            </w:pPr>
            <w:r>
              <w:rPr/>
              <w:t>4</w:t>
            </w:r>
          </w:p>
        </w:tc>
        <w:tc>
          <w:tcPr>
            <w:tcW w:w="7937"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68" w:type="dxa"/>
            <w:tcBorders/>
            <w:vAlign w:val="center"/>
          </w:tcPr>
          <w:p>
            <w:pPr>
              <w:pStyle w:val="TableContents"/>
              <w:bidi w:val="0"/>
              <w:spacing w:before="0" w:after="283"/>
              <w:jc w:val="left"/>
              <w:rPr/>
            </w:pPr>
            <w:r>
              <w:rPr/>
              <w:t>5</w:t>
            </w:r>
          </w:p>
        </w:tc>
        <w:tc>
          <w:tcPr>
            <w:tcW w:w="7937"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6</w:t>
            </w:r>
          </w:p>
        </w:tc>
        <w:tc>
          <w:tcPr>
            <w:tcW w:w="793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8"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1,027,494.00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1,027,494.00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37" w:type="dxa"/>
            <w:tcBorders/>
            <w:vAlign w:val="center"/>
          </w:tcPr>
          <w:p>
            <w:pPr>
              <w:pStyle w:val="TableContents"/>
              <w:bidi w:val="0"/>
              <w:spacing w:before="0" w:after="283"/>
              <w:jc w:val="left"/>
              <w:rPr>
                <w:sz w:val="4"/>
                <w:szCs w:val="4"/>
              </w:rPr>
            </w:pPr>
            <w:r>
              <w:rPr>
                <w:sz w:val="4"/>
                <w:szCs w:val="4"/>
              </w:rPr>
            </w:r>
          </w:p>
        </w:tc>
      </w:tr>
      <w:tr>
        <w:trPr/>
        <w:tc>
          <w:tcPr>
            <w:tcW w:w="2268" w:type="dxa"/>
            <w:tcBorders/>
            <w:vAlign w:val="center"/>
          </w:tcPr>
          <w:p>
            <w:pPr>
              <w:pStyle w:val="TableContents"/>
              <w:bidi w:val="0"/>
              <w:spacing w:before="0" w:after="283"/>
              <w:jc w:val="left"/>
              <w:rPr/>
            </w:pPr>
            <w:r>
              <w:rPr/>
              <w:t>11</w:t>
            </w:r>
          </w:p>
        </w:tc>
        <w:tc>
          <w:tcPr>
            <w:tcW w:w="793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1,027,494.00</w:t>
            </w:r>
          </w:p>
        </w:tc>
      </w:tr>
      <w:tr>
        <w:trPr/>
        <w:tc>
          <w:tcPr>
            <w:tcW w:w="2268" w:type="dxa"/>
            <w:tcBorders/>
            <w:vAlign w:val="center"/>
          </w:tcPr>
          <w:p>
            <w:pPr>
              <w:pStyle w:val="TableContents"/>
              <w:bidi w:val="0"/>
              <w:spacing w:before="0" w:after="283"/>
              <w:jc w:val="left"/>
              <w:rPr/>
            </w:pPr>
            <w:r>
              <w:rPr/>
              <w:t>12</w:t>
            </w:r>
          </w:p>
        </w:tc>
        <w:tc>
          <w:tcPr>
            <w:tcW w:w="7937"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68" w:type="dxa"/>
            <w:tcBorders/>
            <w:vAlign w:val="center"/>
          </w:tcPr>
          <w:p>
            <w:pPr>
              <w:pStyle w:val="TableContents"/>
              <w:bidi w:val="0"/>
              <w:spacing w:before="0" w:after="283"/>
              <w:jc w:val="left"/>
              <w:rPr/>
            </w:pPr>
            <w:r>
              <w:rPr/>
              <w:t>13</w:t>
            </w:r>
          </w:p>
        </w:tc>
        <w:tc>
          <w:tcPr>
            <w:tcW w:w="7937"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5.4 % </w:t>
            </w:r>
          </w:p>
        </w:tc>
      </w:tr>
      <w:tr>
        <w:trPr/>
        <w:tc>
          <w:tcPr>
            <w:tcW w:w="2268" w:type="dxa"/>
            <w:tcBorders/>
            <w:vAlign w:val="center"/>
          </w:tcPr>
          <w:p>
            <w:pPr>
              <w:pStyle w:val="TableContents"/>
              <w:bidi w:val="0"/>
              <w:spacing w:before="0" w:after="283"/>
              <w:jc w:val="left"/>
              <w:rPr/>
            </w:pPr>
            <w:r>
              <w:rPr/>
              <w:t>14</w:t>
            </w:r>
          </w:p>
        </w:tc>
        <w:tc>
          <w:tcPr>
            <w:tcW w:w="793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SDR Partners,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35,785.00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35,785.00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35,785.00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0.2 %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Jacobowitz Jeffrey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1,063,279.00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1,063,279.00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1,063,279.00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Item 1.</w:t>
            </w:r>
          </w:p>
        </w:tc>
        <w:tc>
          <w:tcPr>
            <w:tcW w:w="9028" w:type="dxa"/>
            <w:tcBorders/>
            <w:vAlign w:val="center"/>
          </w:tcPr>
          <w:p>
            <w:pPr>
              <w:pStyle w:val="TableContents"/>
              <w:bidi w:val="0"/>
              <w:spacing w:before="0" w:after="283"/>
              <w:jc w:val="left"/>
              <w:rPr/>
            </w:pPr>
            <w:r>
              <w:rPr/>
              <w:t>Security and Issuer</w:t>
            </w:r>
          </w:p>
        </w:tc>
      </w:tr>
      <w:tr>
        <w:trPr/>
        <w:tc>
          <w:tcPr>
            <w:tcW w:w="1177" w:type="dxa"/>
            <w:tcBorders/>
            <w:vAlign w:val="center"/>
          </w:tcPr>
          <w:p>
            <w:pPr>
              <w:pStyle w:val="TableContents"/>
              <w:bidi w:val="0"/>
              <w:spacing w:before="0" w:after="283"/>
              <w:jc w:val="left"/>
              <w:rPr/>
            </w:pPr>
            <w:r>
              <w:rPr/>
              <w:t>(a)</w:t>
            </w:r>
          </w:p>
        </w:tc>
        <w:tc>
          <w:tcPr>
            <w:tcW w:w="902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77" w:type="dxa"/>
            <w:tcBorders/>
            <w:vAlign w:val="center"/>
          </w:tcPr>
          <w:p>
            <w:pPr>
              <w:pStyle w:val="TableContents"/>
              <w:bidi w:val="0"/>
              <w:spacing w:before="0" w:after="283"/>
              <w:jc w:val="left"/>
              <w:rPr/>
            </w:pPr>
            <w:r>
              <w:rPr/>
              <w:t>(b)</w:t>
            </w:r>
          </w:p>
        </w:tc>
        <w:tc>
          <w:tcPr>
            <w:tcW w:w="9028" w:type="dxa"/>
            <w:tcBorders/>
            <w:vAlign w:val="center"/>
          </w:tcPr>
          <w:p>
            <w:pPr>
              <w:pStyle w:val="TableContents"/>
              <w:bidi w:val="0"/>
              <w:jc w:val="left"/>
              <w:rPr/>
            </w:pPr>
            <w:r>
              <w:rPr/>
              <w:t xml:space="preserve">Name of Issuer: </w:t>
            </w:r>
          </w:p>
          <w:p>
            <w:pPr>
              <w:pStyle w:val="TableContents"/>
              <w:bidi w:val="0"/>
              <w:spacing w:before="0" w:after="0"/>
              <w:jc w:val="left"/>
              <w:rPr/>
            </w:pPr>
            <w:r>
              <w:rPr/>
              <w:t>Koppers Holdings Inc.</w:t>
            </w:r>
          </w:p>
        </w:tc>
      </w:tr>
      <w:tr>
        <w:trPr/>
        <w:tc>
          <w:tcPr>
            <w:tcW w:w="1177" w:type="dxa"/>
            <w:tcBorders/>
            <w:vAlign w:val="center"/>
          </w:tcPr>
          <w:p>
            <w:pPr>
              <w:pStyle w:val="TableContents"/>
              <w:bidi w:val="0"/>
              <w:spacing w:before="0" w:after="283"/>
              <w:jc w:val="left"/>
              <w:rPr/>
            </w:pPr>
            <w:r>
              <w:rPr/>
              <w:t>(c)</w:t>
            </w:r>
          </w:p>
        </w:tc>
        <w:tc>
          <w:tcPr>
            <w:tcW w:w="902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436 SEVENTH AVENUE, PITTSBURGH, PENNSYLVANIA , 15219.</w:t>
            </w:r>
          </w:p>
        </w:tc>
      </w:tr>
      <w:tr>
        <w:trPr/>
        <w:tc>
          <w:tcPr>
            <w:tcW w:w="1177" w:type="dxa"/>
            <w:tcBorders/>
            <w:vAlign w:val="center"/>
          </w:tcPr>
          <w:p>
            <w:pPr>
              <w:pStyle w:val="TableContents"/>
              <w:bidi w:val="0"/>
              <w:spacing w:before="0" w:after="283"/>
              <w:jc w:val="left"/>
              <w:rPr/>
            </w:pPr>
            <w:r>
              <w:rPr/>
              <w:t>Item 3.</w:t>
            </w:r>
          </w:p>
        </w:tc>
        <w:tc>
          <w:tcPr>
            <w:tcW w:w="9028" w:type="dxa"/>
            <w:tcBorders/>
            <w:vAlign w:val="center"/>
          </w:tcPr>
          <w:p>
            <w:pPr>
              <w:pStyle w:val="TableContents"/>
              <w:bidi w:val="0"/>
              <w:spacing w:before="0" w:after="283"/>
              <w:jc w:val="left"/>
              <w:rPr/>
            </w:pPr>
            <w:r>
              <w:rPr/>
              <w:t>Source and Amount of Funds or Other Consideration</w:t>
            </w:r>
          </w:p>
        </w:tc>
      </w:tr>
      <w:tr>
        <w:trPr/>
        <w:tc>
          <w:tcPr>
            <w:tcW w:w="1177"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Item 3 is hereby amended and restated to read as follows: The shares of the Issuer's Common Stock (the "Shares") purchased by each of Simcoe Partners, Simcoe Select and SDR Partners were purchased with working capital (which may, at any given time, include margin loans made by brokerage firms in the ordinary course of business) in open market purchases. The aggregate purchase price of the 873,494 Shares directly owned by Simcoe Partners is approximately $24,977,523, including brokerage commissions. The aggregate purchase price of the 154,000 Shares directly owned by Simcoe Select is approximately $6,544,634, including brokerage commissions. The aggregate purchase price of the 35,785 Shares directly owned by SDR Partners is approximately $1,213,593, including brokerage commissions.</w:t>
            </w:r>
          </w:p>
        </w:tc>
      </w:tr>
      <w:tr>
        <w:trPr/>
        <w:tc>
          <w:tcPr>
            <w:tcW w:w="1177" w:type="dxa"/>
            <w:tcBorders/>
            <w:vAlign w:val="center"/>
          </w:tcPr>
          <w:p>
            <w:pPr>
              <w:pStyle w:val="TableContents"/>
              <w:bidi w:val="0"/>
              <w:spacing w:before="0" w:after="283"/>
              <w:jc w:val="left"/>
              <w:rPr/>
            </w:pPr>
            <w:r>
              <w:rPr/>
              <w:t>Item 5.</w:t>
            </w:r>
          </w:p>
        </w:tc>
        <w:tc>
          <w:tcPr>
            <w:tcW w:w="9028" w:type="dxa"/>
            <w:tcBorders/>
            <w:vAlign w:val="center"/>
          </w:tcPr>
          <w:p>
            <w:pPr>
              <w:pStyle w:val="TableContents"/>
              <w:bidi w:val="0"/>
              <w:spacing w:before="0" w:after="283"/>
              <w:jc w:val="left"/>
              <w:rPr/>
            </w:pPr>
            <w:r>
              <w:rPr/>
              <w:t>Interest in Securities of the Issuer</w:t>
            </w:r>
          </w:p>
        </w:tc>
      </w:tr>
      <w:tr>
        <w:trPr/>
        <w:tc>
          <w:tcPr>
            <w:tcW w:w="1177" w:type="dxa"/>
            <w:tcBorders/>
            <w:vAlign w:val="center"/>
          </w:tcPr>
          <w:p>
            <w:pPr>
              <w:pStyle w:val="TableContents"/>
              <w:bidi w:val="0"/>
              <w:spacing w:before="0" w:after="283"/>
              <w:jc w:val="left"/>
              <w:rPr/>
            </w:pPr>
            <w:r>
              <w:rPr/>
              <w:t>(a)</w:t>
            </w:r>
          </w:p>
        </w:tc>
        <w:tc>
          <w:tcPr>
            <w:tcW w:w="9028" w:type="dxa"/>
            <w:tcBorders/>
            <w:vAlign w:val="center"/>
          </w:tcPr>
          <w:p>
            <w:pPr>
              <w:pStyle w:val="TableContents"/>
              <w:bidi w:val="0"/>
              <w:spacing w:before="0" w:after="0"/>
              <w:jc w:val="left"/>
              <w:rPr/>
            </w:pPr>
            <w:r>
              <w:rPr/>
              <w:t>Item 5(a) is hereby amended and restated to read as follows: The aggregate percentage of Shares reported owned by each person named herein is based on 18,911,568 Shares outstanding, as of July 31, 2026, which is the total number of Shares outstanding as reported in the Issuer's Quarterly Report on Form 10-Q filed with the Securities and Exchange Commission on August 6, 2026. A. Simcoe Partners As of the date hereof, Simcoe Partners directly owned 873,494 Shares. Percentage: approximately 4.6% B. Simcoe Select As of the date hereof, Simcoe Select directly owned 154,000 Shares. Percentage: less than 1% C. Simcoe Management Simcoe Management, as the general partner of Simcoe Partners and Simcoe Select, may be deemed the beneficial owner of the (i) 873,494 Shares owned by Simcoe Partners and (ii) 154,000 Shares owned by Simcoe Select. Percentage: approximately 5.4% D. SDR Partners As of the date hereof, SDR Partners directly owned 35,785 Shares. Percentage: less than 1% E. Simcoe Capital Simcoe Capital, as the investment manager to each of Simcoe Partners, Simcoe Select and SDR Partners, may be deemed the beneficial owner of the (i) 873,494 Shares owned by Simcoe Partners, (ii) 154,000 Shares owned by Simcoe Select and (iii) 35,785 Shares owned by SDR Partners. Percentage: approximately 5.6% F. Mr. Jacobowitz Mr. Jacobowitz, as Managing Member of each of Simcoe Management and Simcoe Capital, may be deemed the beneficial owner of the (i) 873,494 Shares owned by Simcoe Partners, (ii) 154,000 Shares owned by Simcoe Select and (iii) 35,785 Shares owned by SDR Partners. Percentage: approximately 5.6%</w:t>
            </w:r>
          </w:p>
        </w:tc>
      </w:tr>
      <w:tr>
        <w:trPr/>
        <w:tc>
          <w:tcPr>
            <w:tcW w:w="1177" w:type="dxa"/>
            <w:tcBorders/>
            <w:vAlign w:val="center"/>
          </w:tcPr>
          <w:p>
            <w:pPr>
              <w:pStyle w:val="TableContents"/>
              <w:bidi w:val="0"/>
              <w:spacing w:before="0" w:after="283"/>
              <w:jc w:val="left"/>
              <w:rPr/>
            </w:pPr>
            <w:r>
              <w:rPr/>
              <w:t>(b)</w:t>
            </w:r>
          </w:p>
        </w:tc>
        <w:tc>
          <w:tcPr>
            <w:tcW w:w="9028" w:type="dxa"/>
            <w:tcBorders/>
            <w:vAlign w:val="center"/>
          </w:tcPr>
          <w:p>
            <w:pPr>
              <w:pStyle w:val="TableContents"/>
              <w:bidi w:val="0"/>
              <w:spacing w:before="0" w:after="0"/>
              <w:jc w:val="left"/>
              <w:rPr/>
            </w:pPr>
            <w:r>
              <w:rPr/>
              <w:t>Item 5(b) is hereby amended and restated to read as follows: A. Simcoe Partners 1. Sole power to vote or direct vote: 873,494 2. Shared power to vote or direct vote: 0 3. Sole power to dispose or direct the disposition: 873,494 4. Shared power to dispose or direct the disposition: 0 B. Simcoe Select 1. Sole power to vote or direct vote: 154,000 2. Shared power to vote or direct vote: 0 3. Sole power to dispose or direct the disposition: 154,000 4. Shared power to dispose or direct the disposition: 0 C. Simcoe Management 1. Sole power to vote or direct vote: 1,027,494 2. Shared power to vote or direct vote: 0 3. Sole power to dispose or direct the disposition: 1,027,494 4. Shared power to dispose or direct the disposition: 0 D. SDR Partners 1. Sole power to vote or direct vote: 35,785 2. Shared power to vote or direct vote: 0 3. Sole power to dispose or direct the disposition: 35,785 4. Shared power to dispose or direct the disposition: 0 E. Simcoe Capital 1. Sole power to vote or direct vote: 1,063,279 2. Shared power to vote or direct vote: 0 3. Sole power to dispose or direct the disposition: 1,063,279 4. Shared power to dispose or direct the disposition: 0 F. Mr. Jacobowitz 1. Sole power to vote or direct vote: 1,063,279 2. Shared power to vote or direct vote: 0 3. Sole power to dispose or direct the disposition: 1,063,279 4. Shared power to dispose or direct the disposition: 0 Each Reporting Person, as a member of a "group" with the other Reporting Persons for the purposes of Section 13(d)(3) of the Securities Exchange Act of 1934, as amended, may be deemed the beneficial owner of the Shares directly owned by the other Reporting Persons. Each Reporting Person disclaims beneficial ownership of such Shares except to the extent of his or its pecuniary interest therein.</w:t>
            </w:r>
          </w:p>
        </w:tc>
      </w:tr>
      <w:tr>
        <w:trPr/>
        <w:tc>
          <w:tcPr>
            <w:tcW w:w="1177" w:type="dxa"/>
            <w:tcBorders/>
            <w:vAlign w:val="center"/>
          </w:tcPr>
          <w:p>
            <w:pPr>
              <w:pStyle w:val="TableContents"/>
              <w:bidi w:val="0"/>
              <w:spacing w:before="0" w:after="283"/>
              <w:jc w:val="left"/>
              <w:rPr/>
            </w:pPr>
            <w:r>
              <w:rPr/>
              <w:t>(c)</w:t>
            </w:r>
          </w:p>
        </w:tc>
        <w:tc>
          <w:tcPr>
            <w:tcW w:w="9028" w:type="dxa"/>
            <w:tcBorders/>
            <w:vAlign w:val="center"/>
          </w:tcPr>
          <w:p>
            <w:pPr>
              <w:pStyle w:val="TableContents"/>
              <w:bidi w:val="0"/>
              <w:spacing w:before="0" w:after="0"/>
              <w:jc w:val="left"/>
              <w:rPr/>
            </w:pPr>
            <w:r>
              <w:rPr/>
              <w:t>Item 5(c) is hereby amended and restated to read as follows: The transactions in the Shares by the Reporting Persons during the past 60 days are set forth in Exhibit 1 and incorporated herein by reference.</w:t>
            </w:r>
          </w:p>
        </w:tc>
      </w:tr>
      <w:tr>
        <w:trPr/>
        <w:tc>
          <w:tcPr>
            <w:tcW w:w="1177" w:type="dxa"/>
            <w:tcBorders/>
            <w:vAlign w:val="center"/>
          </w:tcPr>
          <w:p>
            <w:pPr>
              <w:pStyle w:val="TableContents"/>
              <w:bidi w:val="0"/>
              <w:spacing w:before="0" w:after="283"/>
              <w:jc w:val="left"/>
              <w:rPr/>
            </w:pPr>
            <w:r>
              <w:rPr/>
              <w:t>Item 7.</w:t>
            </w:r>
          </w:p>
        </w:tc>
        <w:tc>
          <w:tcPr>
            <w:tcW w:w="9028" w:type="dxa"/>
            <w:tcBorders/>
            <w:vAlign w:val="center"/>
          </w:tcPr>
          <w:p>
            <w:pPr>
              <w:pStyle w:val="TableContents"/>
              <w:bidi w:val="0"/>
              <w:spacing w:before="0" w:after="283"/>
              <w:jc w:val="left"/>
              <w:rPr/>
            </w:pPr>
            <w:r>
              <w:rPr/>
              <w:t>Material to be Filed as Exhibits.</w:t>
            </w:r>
          </w:p>
        </w:tc>
      </w:tr>
      <w:tr>
        <w:trPr/>
        <w:tc>
          <w:tcPr>
            <w:tcW w:w="1177" w:type="dxa"/>
            <w:tcBorders/>
            <w:vAlign w:val="center"/>
          </w:tcPr>
          <w:p>
            <w:pPr>
              <w:pStyle w:val="TableContents"/>
              <w:bidi w:val="0"/>
              <w:spacing w:before="0" w:after="283"/>
              <w:jc w:val="left"/>
              <w:rPr/>
            </w:pPr>
            <w:r>
              <w:rPr/>
              <w:t> </w:t>
            </w:r>
          </w:p>
        </w:tc>
        <w:tc>
          <w:tcPr>
            <w:tcW w:w="9028" w:type="dxa"/>
            <w:tcBorders/>
            <w:vAlign w:val="center"/>
          </w:tcPr>
          <w:p>
            <w:pPr>
              <w:pStyle w:val="TableContents"/>
              <w:bidi w:val="0"/>
              <w:spacing w:before="0" w:after="0"/>
              <w:jc w:val="left"/>
              <w:rPr/>
            </w:pPr>
            <w:r>
              <w:rPr/>
              <w:t>Item 7 is hereby amended to add the following exhibit: 1 - Transactions in Securities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Simcoe Capital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Jeffrey Jacobowitz</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Jeffrey Jacobowitz,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SIMCOE PARTNERS L P</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Jeffrey Jacobowitz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Jeffrey Jacobowitz, Managing Member of Simcoe Management Company,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Simcoe Select, LP</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Jeffrey Jacobowitz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Jeffrey Jacobowitz, Managing Member of Simcoe Management Company,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SIMCOE MANAGEMENT COMPANY, LLC</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Jeffrey Jacobowitz</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Jeffrey Jacobowitz, Managing Member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4360" w:type="dxa"/>
        <w:jc w:val="left"/>
        <w:tblInd w:w="0" w:type="dxa"/>
        <w:tblLayout w:type="fixed"/>
        <w:tblCellMar>
          <w:top w:w="28" w:type="dxa"/>
          <w:left w:w="28" w:type="dxa"/>
          <w:bottom w:w="28" w:type="dxa"/>
          <w:right w:w="28" w:type="dxa"/>
        </w:tblCellMar>
      </w:tblPr>
      <w:tblGrid>
        <w:gridCol w:w="2180"/>
        <w:gridCol w:w="2180"/>
      </w:tblGrid>
      <w:tr>
        <w:trPr/>
        <w:tc>
          <w:tcPr>
            <w:tcW w:w="2180" w:type="dxa"/>
            <w:tcBorders/>
            <w:vAlign w:val="center"/>
          </w:tcPr>
          <w:p>
            <w:pPr>
              <w:pStyle w:val="TableContents"/>
              <w:bidi w:val="0"/>
              <w:spacing w:before="0" w:after="0"/>
              <w:jc w:val="left"/>
              <w:rPr/>
            </w:pPr>
            <w:r>
              <w:rPr/>
              <w:t> </w:t>
            </w:r>
          </w:p>
          <w:tbl>
            <w:tblPr>
              <w:tblW w:w="2056" w:type="dxa"/>
              <w:jc w:val="left"/>
              <w:tblInd w:w="0" w:type="dxa"/>
              <w:tblLayout w:type="fixed"/>
              <w:tblCellMar>
                <w:top w:w="28" w:type="dxa"/>
                <w:left w:w="28" w:type="dxa"/>
                <w:bottom w:w="28" w:type="dxa"/>
                <w:right w:w="28" w:type="dxa"/>
              </w:tblCellMar>
            </w:tblPr>
            <w:tblGrid>
              <w:gridCol w:w="2056"/>
            </w:tblGrid>
            <w:tr>
              <w:trPr/>
              <w:tc>
                <w:tcPr>
                  <w:tcW w:w="2056" w:type="dxa"/>
                  <w:tcBorders/>
                  <w:vAlign w:val="center"/>
                </w:tcPr>
                <w:p>
                  <w:pPr>
                    <w:pStyle w:val="TableContents"/>
                    <w:bidi w:val="0"/>
                    <w:spacing w:before="0" w:after="0"/>
                    <w:jc w:val="left"/>
                    <w:rPr/>
                  </w:pPr>
                  <w:r>
                    <w:rPr/>
                    <w:t>SDR Partners, LLC</w:t>
                  </w:r>
                </w:p>
              </w:tc>
            </w:tr>
          </w:tbl>
          <w:p>
            <w:pPr>
              <w:pStyle w:val="TableContents"/>
              <w:bidi w:val="0"/>
              <w:spacing w:before="0" w:after="283"/>
              <w:jc w:val="left"/>
              <w:rPr/>
            </w:pPr>
            <w:r>
              <w:rPr/>
            </w:r>
          </w:p>
        </w:tc>
        <w:tc>
          <w:tcPr>
            <w:tcW w:w="21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Jeffrey Jacobowitz</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Jeffrey Jacobowitz, Managing Member of Simcoe Management Company, LLC (its Investment Manager)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Jacobowitz Jeffrey</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Jeffrey Jacobowitz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Jeffrey Jacobowitz</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10/22/2026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34" w:name="ex1sc13da107902014_10222026.htm"/>
      <w:bookmarkStart w:id="35" w:name="ksex1sc13da107902014_10222026"/>
      <w:bookmarkEnd w:id="34"/>
      <w:bookmarkEnd w:id="35"/>
      <w:r>
        <w:rPr>
          <w:rFonts w:ascii="Times New Roman;Times;Serif" w:hAnsi="Times New Roman;Times;Serif"/>
          <w:b w:val="false"/>
          <w:i w:val="false"/>
          <w:caps w:val="false"/>
          <w:smallCaps w:val="false"/>
          <w:sz w:val="20"/>
        </w:rPr>
        <w:t>Exhibit 1</w:t>
      </w:r>
      <w:r>
        <w:br w:type="page"/>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Transactions in the Shares During the Past Sixty Days</w:t>
      </w:r>
    </w:p>
    <w:tbl>
      <w:tblPr>
        <w:tblW w:w="3960" w:type="dxa"/>
        <w:jc w:val="left"/>
        <w:tblInd w:w="0" w:type="dxa"/>
        <w:tblLayout w:type="fixed"/>
        <w:tblCellMar>
          <w:top w:w="0" w:type="dxa"/>
          <w:left w:w="0" w:type="dxa"/>
          <w:bottom w:w="0" w:type="dxa"/>
          <w:right w:w="0" w:type="dxa"/>
        </w:tblCellMar>
      </w:tblPr>
      <w:tblGrid>
        <w:gridCol w:w="2075"/>
        <w:gridCol w:w="725"/>
        <w:gridCol w:w="1160"/>
      </w:tblGrid>
      <w:tr>
        <w:trPr/>
        <w:tc>
          <w:tcPr>
            <w:tcW w:w="207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Purchased/(Sold)</w:t>
            </w:r>
          </w:p>
        </w:tc>
        <w:tc>
          <w:tcPr>
            <w:tcW w:w="7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Per</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w:t>
            </w:r>
          </w:p>
        </w:tc>
        <w:tc>
          <w:tcPr>
            <w:tcW w:w="116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r>
          </w:p>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Purchase/Sale</w:t>
            </w:r>
          </w:p>
        </w:tc>
      </w:tr>
    </w:tbl>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SIMCOE PARTNERS, L.P.</w:t>
      </w:r>
    </w:p>
    <w:p>
      <w:pPr>
        <w:pStyle w:val="TextBody"/>
        <w:bidi w:val="0"/>
        <w:jc w:val="center"/>
        <w:rPr>
          <w:caps w:val="false"/>
          <w:smallCaps w:val="false"/>
        </w:rPr>
      </w:pPr>
      <w:r>
        <w:rPr>
          <w:caps w:val="false"/>
          <w:smallCaps w:val="false"/>
        </w:rPr>
        <w:t> </w:t>
      </w:r>
    </w:p>
    <w:tbl>
      <w:tblPr>
        <w:tblW w:w="2760" w:type="dxa"/>
        <w:jc w:val="left"/>
        <w:tblInd w:w="0" w:type="dxa"/>
        <w:tblLayout w:type="fixed"/>
        <w:tblCellMar>
          <w:top w:w="0" w:type="dxa"/>
          <w:left w:w="0" w:type="dxa"/>
          <w:bottom w:w="0" w:type="dxa"/>
          <w:right w:w="0" w:type="dxa"/>
        </w:tblCellMar>
      </w:tblPr>
      <w:tblGrid>
        <w:gridCol w:w="845"/>
        <w:gridCol w:w="800"/>
        <w:gridCol w:w="1115"/>
      </w:tblGrid>
      <w:tr>
        <w:trPr/>
        <w:tc>
          <w:tcPr>
            <w:tcW w:w="845" w:type="dxa"/>
            <w:tcBorders/>
            <w:shd w:fill="CCEEFF" w:val="clear"/>
            <w:vAlign w:val="center"/>
          </w:tcPr>
          <w:p>
            <w:pPr>
              <w:pStyle w:val="TableContents"/>
              <w:bidi w:val="0"/>
              <w:spacing w:before="0" w:after="283"/>
              <w:jc w:val="center"/>
              <w:rPr/>
            </w:pPr>
            <w:r>
              <w:rPr/>
              <w:t>(43,594)</w:t>
            </w:r>
          </w:p>
        </w:tc>
        <w:tc>
          <w:tcPr>
            <w:tcW w:w="800" w:type="dxa"/>
            <w:tcBorders/>
            <w:shd w:fill="CCEEFF" w:val="clear"/>
            <w:vAlign w:val="center"/>
          </w:tcPr>
          <w:p>
            <w:pPr>
              <w:pStyle w:val="TableContents"/>
              <w:bidi w:val="0"/>
              <w:spacing w:before="0" w:after="283"/>
              <w:jc w:val="center"/>
              <w:rPr/>
            </w:pPr>
            <w:r>
              <w:rPr/>
              <w:t>45.0806</w:t>
            </w:r>
          </w:p>
        </w:tc>
        <w:tc>
          <w:tcPr>
            <w:tcW w:w="1115" w:type="dxa"/>
            <w:tcBorders/>
            <w:shd w:fill="CCEEFF" w:val="clear"/>
            <w:vAlign w:val="center"/>
          </w:tcPr>
          <w:p>
            <w:pPr>
              <w:pStyle w:val="TableContents"/>
              <w:bidi w:val="0"/>
              <w:spacing w:before="0" w:after="283"/>
              <w:jc w:val="center"/>
              <w:rPr/>
            </w:pPr>
            <w:r>
              <w:rPr/>
              <w:t>10/01/2026</w:t>
            </w:r>
          </w:p>
        </w:tc>
      </w:tr>
      <w:tr>
        <w:trPr/>
        <w:tc>
          <w:tcPr>
            <w:tcW w:w="845" w:type="dxa"/>
            <w:tcBorders/>
            <w:shd w:fill="FFFFFF" w:val="clear"/>
            <w:vAlign w:val="center"/>
          </w:tcPr>
          <w:p>
            <w:pPr>
              <w:pStyle w:val="TableContents"/>
              <w:bidi w:val="0"/>
              <w:spacing w:before="0" w:after="283"/>
              <w:jc w:val="center"/>
              <w:rPr/>
            </w:pPr>
            <w:r>
              <w:rPr/>
              <w:t>(52,000)</w:t>
            </w:r>
          </w:p>
        </w:tc>
        <w:tc>
          <w:tcPr>
            <w:tcW w:w="800" w:type="dxa"/>
            <w:tcBorders/>
            <w:shd w:fill="FFFFFF" w:val="clear"/>
            <w:vAlign w:val="center"/>
          </w:tcPr>
          <w:p>
            <w:pPr>
              <w:pStyle w:val="TableContents"/>
              <w:bidi w:val="0"/>
              <w:spacing w:before="0" w:after="283"/>
              <w:jc w:val="center"/>
              <w:rPr/>
            </w:pPr>
            <w:r>
              <w:rPr/>
              <w:t>46.1139</w:t>
            </w:r>
          </w:p>
        </w:tc>
        <w:tc>
          <w:tcPr>
            <w:tcW w:w="1115" w:type="dxa"/>
            <w:tcBorders/>
            <w:shd w:fill="FFFFFF" w:val="clear"/>
            <w:vAlign w:val="center"/>
          </w:tcPr>
          <w:p>
            <w:pPr>
              <w:pStyle w:val="TableContents"/>
              <w:bidi w:val="0"/>
              <w:spacing w:before="0" w:after="283"/>
              <w:jc w:val="center"/>
              <w:rPr/>
            </w:pPr>
            <w:r>
              <w:rPr/>
              <w:t>10/02/2026</w:t>
            </w:r>
          </w:p>
        </w:tc>
      </w:tr>
      <w:tr>
        <w:trPr/>
        <w:tc>
          <w:tcPr>
            <w:tcW w:w="845" w:type="dxa"/>
            <w:tcBorders/>
            <w:shd w:fill="CCEEFF" w:val="clear"/>
            <w:vAlign w:val="center"/>
          </w:tcPr>
          <w:p>
            <w:pPr>
              <w:pStyle w:val="TableContents"/>
              <w:bidi w:val="0"/>
              <w:spacing w:before="0" w:after="283"/>
              <w:jc w:val="center"/>
              <w:rPr/>
            </w:pPr>
            <w:r>
              <w:rPr/>
              <w:t>(39,291)</w:t>
            </w:r>
          </w:p>
        </w:tc>
        <w:tc>
          <w:tcPr>
            <w:tcW w:w="800" w:type="dxa"/>
            <w:tcBorders/>
            <w:shd w:fill="CCEEFF" w:val="clear"/>
            <w:vAlign w:val="center"/>
          </w:tcPr>
          <w:p>
            <w:pPr>
              <w:pStyle w:val="TableContents"/>
              <w:bidi w:val="0"/>
              <w:spacing w:before="0" w:after="283"/>
              <w:jc w:val="center"/>
              <w:rPr/>
            </w:pPr>
            <w:r>
              <w:rPr/>
              <w:t>47.1733</w:t>
            </w:r>
          </w:p>
        </w:tc>
        <w:tc>
          <w:tcPr>
            <w:tcW w:w="1115" w:type="dxa"/>
            <w:tcBorders/>
            <w:shd w:fill="CCEEFF" w:val="clear"/>
            <w:vAlign w:val="center"/>
          </w:tcPr>
          <w:p>
            <w:pPr>
              <w:pStyle w:val="TableContents"/>
              <w:bidi w:val="0"/>
              <w:spacing w:before="0" w:after="283"/>
              <w:jc w:val="center"/>
              <w:rPr/>
            </w:pPr>
            <w:r>
              <w:rPr/>
              <w:t>10/05/2026</w:t>
            </w:r>
          </w:p>
        </w:tc>
      </w:tr>
      <w:tr>
        <w:trPr/>
        <w:tc>
          <w:tcPr>
            <w:tcW w:w="845" w:type="dxa"/>
            <w:tcBorders/>
            <w:shd w:fill="FFFFFF" w:val="clear"/>
            <w:vAlign w:val="center"/>
          </w:tcPr>
          <w:p>
            <w:pPr>
              <w:pStyle w:val="TableContents"/>
              <w:bidi w:val="0"/>
              <w:spacing w:before="0" w:after="283"/>
              <w:jc w:val="center"/>
              <w:rPr/>
            </w:pPr>
            <w:r>
              <w:rPr/>
              <w:t>(15,758)</w:t>
            </w:r>
          </w:p>
        </w:tc>
        <w:tc>
          <w:tcPr>
            <w:tcW w:w="800" w:type="dxa"/>
            <w:tcBorders/>
            <w:shd w:fill="FFFFFF" w:val="clear"/>
            <w:vAlign w:val="center"/>
          </w:tcPr>
          <w:p>
            <w:pPr>
              <w:pStyle w:val="TableContents"/>
              <w:bidi w:val="0"/>
              <w:spacing w:before="0" w:after="283"/>
              <w:jc w:val="center"/>
              <w:rPr/>
            </w:pPr>
            <w:r>
              <w:rPr/>
              <w:t>46.2628</w:t>
            </w:r>
          </w:p>
        </w:tc>
        <w:tc>
          <w:tcPr>
            <w:tcW w:w="1115" w:type="dxa"/>
            <w:tcBorders/>
            <w:shd w:fill="FFFFFF" w:val="clear"/>
            <w:vAlign w:val="center"/>
          </w:tcPr>
          <w:p>
            <w:pPr>
              <w:pStyle w:val="TableContents"/>
              <w:bidi w:val="0"/>
              <w:spacing w:before="0" w:after="283"/>
              <w:jc w:val="center"/>
              <w:rPr/>
            </w:pPr>
            <w:r>
              <w:rPr/>
              <w:t>10/06/2026</w:t>
            </w:r>
          </w:p>
        </w:tc>
      </w:tr>
      <w:tr>
        <w:trPr/>
        <w:tc>
          <w:tcPr>
            <w:tcW w:w="845" w:type="dxa"/>
            <w:tcBorders/>
            <w:shd w:fill="CCEEFF" w:val="clear"/>
            <w:vAlign w:val="center"/>
          </w:tcPr>
          <w:p>
            <w:pPr>
              <w:pStyle w:val="TableContents"/>
              <w:bidi w:val="0"/>
              <w:spacing w:before="0" w:after="283"/>
              <w:jc w:val="center"/>
              <w:rPr/>
            </w:pPr>
            <w:r>
              <w:rPr/>
              <w:t>(13,243)</w:t>
            </w:r>
          </w:p>
        </w:tc>
        <w:tc>
          <w:tcPr>
            <w:tcW w:w="800" w:type="dxa"/>
            <w:tcBorders/>
            <w:shd w:fill="CCEEFF" w:val="clear"/>
            <w:vAlign w:val="center"/>
          </w:tcPr>
          <w:p>
            <w:pPr>
              <w:pStyle w:val="TableContents"/>
              <w:bidi w:val="0"/>
              <w:spacing w:before="0" w:after="283"/>
              <w:jc w:val="center"/>
              <w:rPr/>
            </w:pPr>
            <w:r>
              <w:rPr/>
              <w:t>44.2709</w:t>
            </w:r>
          </w:p>
        </w:tc>
        <w:tc>
          <w:tcPr>
            <w:tcW w:w="1115" w:type="dxa"/>
            <w:tcBorders/>
            <w:shd w:fill="CCEEFF" w:val="clear"/>
            <w:vAlign w:val="center"/>
          </w:tcPr>
          <w:p>
            <w:pPr>
              <w:pStyle w:val="TableContents"/>
              <w:bidi w:val="0"/>
              <w:spacing w:before="0" w:after="283"/>
              <w:jc w:val="center"/>
              <w:rPr/>
            </w:pPr>
            <w:r>
              <w:rPr/>
              <w:t>10/07/2026</w:t>
            </w:r>
          </w:p>
        </w:tc>
      </w:tr>
      <w:tr>
        <w:trPr/>
        <w:tc>
          <w:tcPr>
            <w:tcW w:w="845" w:type="dxa"/>
            <w:tcBorders/>
            <w:shd w:fill="FFFFFF" w:val="clear"/>
            <w:vAlign w:val="center"/>
          </w:tcPr>
          <w:p>
            <w:pPr>
              <w:pStyle w:val="TableContents"/>
              <w:bidi w:val="0"/>
              <w:spacing w:before="0" w:after="283"/>
              <w:jc w:val="center"/>
              <w:rPr/>
            </w:pPr>
            <w:r>
              <w:rPr/>
              <w:t>(19,161)</w:t>
            </w:r>
          </w:p>
        </w:tc>
        <w:tc>
          <w:tcPr>
            <w:tcW w:w="800" w:type="dxa"/>
            <w:tcBorders/>
            <w:shd w:fill="FFFFFF" w:val="clear"/>
            <w:vAlign w:val="center"/>
          </w:tcPr>
          <w:p>
            <w:pPr>
              <w:pStyle w:val="TableContents"/>
              <w:bidi w:val="0"/>
              <w:spacing w:before="0" w:after="283"/>
              <w:jc w:val="center"/>
              <w:rPr/>
            </w:pPr>
            <w:r>
              <w:rPr/>
              <w:t>44.4458</w:t>
            </w:r>
          </w:p>
        </w:tc>
        <w:tc>
          <w:tcPr>
            <w:tcW w:w="1115" w:type="dxa"/>
            <w:tcBorders/>
            <w:shd w:fill="FFFFFF" w:val="clear"/>
            <w:vAlign w:val="center"/>
          </w:tcPr>
          <w:p>
            <w:pPr>
              <w:pStyle w:val="TableContents"/>
              <w:bidi w:val="0"/>
              <w:spacing w:before="0" w:after="283"/>
              <w:jc w:val="center"/>
              <w:rPr/>
            </w:pPr>
            <w:r>
              <w:rPr/>
              <w:t>10/08/2026</w:t>
            </w:r>
          </w:p>
        </w:tc>
      </w:tr>
      <w:tr>
        <w:trPr/>
        <w:tc>
          <w:tcPr>
            <w:tcW w:w="845" w:type="dxa"/>
            <w:tcBorders/>
            <w:shd w:fill="CCEEFF" w:val="clear"/>
            <w:vAlign w:val="center"/>
          </w:tcPr>
          <w:p>
            <w:pPr>
              <w:pStyle w:val="TableContents"/>
              <w:bidi w:val="0"/>
              <w:spacing w:before="0" w:after="283"/>
              <w:jc w:val="center"/>
              <w:rPr/>
            </w:pPr>
            <w:r>
              <w:rPr/>
              <w:t>(15,148)</w:t>
            </w:r>
          </w:p>
        </w:tc>
        <w:tc>
          <w:tcPr>
            <w:tcW w:w="800" w:type="dxa"/>
            <w:tcBorders/>
            <w:shd w:fill="CCEEFF" w:val="clear"/>
            <w:vAlign w:val="center"/>
          </w:tcPr>
          <w:p>
            <w:pPr>
              <w:pStyle w:val="TableContents"/>
              <w:bidi w:val="0"/>
              <w:spacing w:before="0" w:after="283"/>
              <w:jc w:val="center"/>
              <w:rPr/>
            </w:pPr>
            <w:r>
              <w:rPr/>
              <w:t>43.3850</w:t>
            </w:r>
          </w:p>
        </w:tc>
        <w:tc>
          <w:tcPr>
            <w:tcW w:w="1115" w:type="dxa"/>
            <w:tcBorders/>
            <w:shd w:fill="CCEEFF" w:val="clear"/>
            <w:vAlign w:val="center"/>
          </w:tcPr>
          <w:p>
            <w:pPr>
              <w:pStyle w:val="TableContents"/>
              <w:bidi w:val="0"/>
              <w:spacing w:before="0" w:after="283"/>
              <w:jc w:val="center"/>
              <w:rPr/>
            </w:pPr>
            <w:r>
              <w:rPr/>
              <w:t>10/09/2026</w:t>
            </w:r>
          </w:p>
        </w:tc>
      </w:tr>
      <w:tr>
        <w:trPr/>
        <w:tc>
          <w:tcPr>
            <w:tcW w:w="845" w:type="dxa"/>
            <w:tcBorders/>
            <w:shd w:fill="FFFFFF" w:val="clear"/>
            <w:vAlign w:val="center"/>
          </w:tcPr>
          <w:p>
            <w:pPr>
              <w:pStyle w:val="TableContents"/>
              <w:bidi w:val="0"/>
              <w:spacing w:before="0" w:after="283"/>
              <w:jc w:val="center"/>
              <w:rPr/>
            </w:pPr>
            <w:r>
              <w:rPr/>
              <w:t>(15,639)</w:t>
            </w:r>
          </w:p>
        </w:tc>
        <w:tc>
          <w:tcPr>
            <w:tcW w:w="800" w:type="dxa"/>
            <w:tcBorders/>
            <w:shd w:fill="FFFFFF" w:val="clear"/>
            <w:vAlign w:val="center"/>
          </w:tcPr>
          <w:p>
            <w:pPr>
              <w:pStyle w:val="TableContents"/>
              <w:bidi w:val="0"/>
              <w:spacing w:before="0" w:after="283"/>
              <w:jc w:val="center"/>
              <w:rPr/>
            </w:pPr>
            <w:r>
              <w:rPr/>
              <w:t>43.3260</w:t>
            </w:r>
          </w:p>
        </w:tc>
        <w:tc>
          <w:tcPr>
            <w:tcW w:w="1115" w:type="dxa"/>
            <w:tcBorders/>
            <w:shd w:fill="FFFFFF" w:val="clear"/>
            <w:vAlign w:val="center"/>
          </w:tcPr>
          <w:p>
            <w:pPr>
              <w:pStyle w:val="TableContents"/>
              <w:bidi w:val="0"/>
              <w:spacing w:before="0" w:after="283"/>
              <w:jc w:val="center"/>
              <w:rPr/>
            </w:pPr>
            <w:r>
              <w:rPr/>
              <w:t>10/12/2026</w:t>
            </w:r>
          </w:p>
        </w:tc>
      </w:tr>
      <w:tr>
        <w:trPr/>
        <w:tc>
          <w:tcPr>
            <w:tcW w:w="845" w:type="dxa"/>
            <w:tcBorders/>
            <w:shd w:fill="CCEEFF" w:val="clear"/>
            <w:vAlign w:val="center"/>
          </w:tcPr>
          <w:p>
            <w:pPr>
              <w:pStyle w:val="TableContents"/>
              <w:bidi w:val="0"/>
              <w:spacing w:before="0" w:after="283"/>
              <w:jc w:val="center"/>
              <w:rPr/>
            </w:pPr>
            <w:r>
              <w:rPr/>
              <w:t>(15,563)</w:t>
            </w:r>
          </w:p>
        </w:tc>
        <w:tc>
          <w:tcPr>
            <w:tcW w:w="800" w:type="dxa"/>
            <w:tcBorders/>
            <w:shd w:fill="CCEEFF" w:val="clear"/>
            <w:vAlign w:val="center"/>
          </w:tcPr>
          <w:p>
            <w:pPr>
              <w:pStyle w:val="TableContents"/>
              <w:bidi w:val="0"/>
              <w:spacing w:before="0" w:after="283"/>
              <w:jc w:val="center"/>
              <w:rPr/>
            </w:pPr>
            <w:r>
              <w:rPr/>
              <w:t>43.7815</w:t>
            </w:r>
          </w:p>
        </w:tc>
        <w:tc>
          <w:tcPr>
            <w:tcW w:w="1115" w:type="dxa"/>
            <w:tcBorders/>
            <w:shd w:fill="CCEEFF" w:val="clear"/>
            <w:vAlign w:val="center"/>
          </w:tcPr>
          <w:p>
            <w:pPr>
              <w:pStyle w:val="TableContents"/>
              <w:bidi w:val="0"/>
              <w:spacing w:before="0" w:after="283"/>
              <w:jc w:val="center"/>
              <w:rPr/>
            </w:pPr>
            <w:r>
              <w:rPr/>
              <w:t>10/13/2026</w:t>
            </w:r>
          </w:p>
        </w:tc>
      </w:tr>
      <w:tr>
        <w:trPr/>
        <w:tc>
          <w:tcPr>
            <w:tcW w:w="845" w:type="dxa"/>
            <w:tcBorders/>
            <w:shd w:fill="FFFFFF" w:val="clear"/>
            <w:vAlign w:val="center"/>
          </w:tcPr>
          <w:p>
            <w:pPr>
              <w:pStyle w:val="TableContents"/>
              <w:bidi w:val="0"/>
              <w:spacing w:before="0" w:after="283"/>
              <w:jc w:val="center"/>
              <w:rPr/>
            </w:pPr>
            <w:r>
              <w:rPr/>
              <w:t>(12,976)</w:t>
            </w:r>
          </w:p>
        </w:tc>
        <w:tc>
          <w:tcPr>
            <w:tcW w:w="800" w:type="dxa"/>
            <w:tcBorders/>
            <w:shd w:fill="FFFFFF" w:val="clear"/>
            <w:vAlign w:val="center"/>
          </w:tcPr>
          <w:p>
            <w:pPr>
              <w:pStyle w:val="TableContents"/>
              <w:bidi w:val="0"/>
              <w:spacing w:before="0" w:after="283"/>
              <w:jc w:val="center"/>
              <w:rPr/>
            </w:pPr>
            <w:r>
              <w:rPr/>
              <w:t>43.5609</w:t>
            </w:r>
          </w:p>
        </w:tc>
        <w:tc>
          <w:tcPr>
            <w:tcW w:w="1115" w:type="dxa"/>
            <w:tcBorders/>
            <w:shd w:fill="FFFFFF" w:val="clear"/>
            <w:vAlign w:val="center"/>
          </w:tcPr>
          <w:p>
            <w:pPr>
              <w:pStyle w:val="TableContents"/>
              <w:bidi w:val="0"/>
              <w:spacing w:before="0" w:after="283"/>
              <w:jc w:val="center"/>
              <w:rPr/>
            </w:pPr>
            <w:r>
              <w:rPr/>
              <w:t>10/14/2026</w:t>
            </w:r>
          </w:p>
        </w:tc>
      </w:tr>
      <w:tr>
        <w:trPr/>
        <w:tc>
          <w:tcPr>
            <w:tcW w:w="845" w:type="dxa"/>
            <w:tcBorders/>
            <w:shd w:fill="CCEEFF" w:val="clear"/>
            <w:vAlign w:val="center"/>
          </w:tcPr>
          <w:p>
            <w:pPr>
              <w:pStyle w:val="TableContents"/>
              <w:bidi w:val="0"/>
              <w:spacing w:before="0" w:after="283"/>
              <w:jc w:val="center"/>
              <w:rPr/>
            </w:pPr>
            <w:r>
              <w:rPr/>
              <w:t>(10,808)</w:t>
            </w:r>
          </w:p>
        </w:tc>
        <w:tc>
          <w:tcPr>
            <w:tcW w:w="800" w:type="dxa"/>
            <w:tcBorders/>
            <w:shd w:fill="CCEEFF" w:val="clear"/>
            <w:vAlign w:val="center"/>
          </w:tcPr>
          <w:p>
            <w:pPr>
              <w:pStyle w:val="TableContents"/>
              <w:bidi w:val="0"/>
              <w:spacing w:before="0" w:after="283"/>
              <w:jc w:val="center"/>
              <w:rPr/>
            </w:pPr>
            <w:r>
              <w:rPr/>
              <w:t>43.3332</w:t>
            </w:r>
          </w:p>
        </w:tc>
        <w:tc>
          <w:tcPr>
            <w:tcW w:w="1115" w:type="dxa"/>
            <w:tcBorders/>
            <w:shd w:fill="CCEEFF" w:val="clear"/>
            <w:vAlign w:val="center"/>
          </w:tcPr>
          <w:p>
            <w:pPr>
              <w:pStyle w:val="TableContents"/>
              <w:bidi w:val="0"/>
              <w:spacing w:before="0" w:after="283"/>
              <w:jc w:val="center"/>
              <w:rPr/>
            </w:pPr>
            <w:r>
              <w:rPr/>
              <w:t>10/15/2026</w:t>
            </w:r>
          </w:p>
        </w:tc>
      </w:tr>
      <w:tr>
        <w:trPr/>
        <w:tc>
          <w:tcPr>
            <w:tcW w:w="845" w:type="dxa"/>
            <w:tcBorders/>
            <w:shd w:fill="FFFFFF" w:val="clear"/>
            <w:vAlign w:val="center"/>
          </w:tcPr>
          <w:p>
            <w:pPr>
              <w:pStyle w:val="TableContents"/>
              <w:bidi w:val="0"/>
              <w:spacing w:before="0" w:after="283"/>
              <w:jc w:val="center"/>
              <w:rPr/>
            </w:pPr>
            <w:r>
              <w:rPr/>
              <w:t>(1,200)</w:t>
            </w:r>
          </w:p>
        </w:tc>
        <w:tc>
          <w:tcPr>
            <w:tcW w:w="800" w:type="dxa"/>
            <w:tcBorders/>
            <w:shd w:fill="FFFFFF" w:val="clear"/>
            <w:vAlign w:val="center"/>
          </w:tcPr>
          <w:p>
            <w:pPr>
              <w:pStyle w:val="TableContents"/>
              <w:bidi w:val="0"/>
              <w:spacing w:before="0" w:after="283"/>
              <w:jc w:val="center"/>
              <w:rPr/>
            </w:pPr>
            <w:r>
              <w:rPr/>
              <w:t>43.4653</w:t>
            </w:r>
          </w:p>
        </w:tc>
        <w:tc>
          <w:tcPr>
            <w:tcW w:w="1115" w:type="dxa"/>
            <w:tcBorders/>
            <w:shd w:fill="FFFFFF" w:val="clear"/>
            <w:vAlign w:val="center"/>
          </w:tcPr>
          <w:p>
            <w:pPr>
              <w:pStyle w:val="TableContents"/>
              <w:bidi w:val="0"/>
              <w:spacing w:before="0" w:after="283"/>
              <w:jc w:val="center"/>
              <w:rPr/>
            </w:pPr>
            <w:r>
              <w:rPr/>
              <w:t>10/16/2026</w:t>
            </w:r>
          </w:p>
        </w:tc>
      </w:tr>
      <w:tr>
        <w:trPr/>
        <w:tc>
          <w:tcPr>
            <w:tcW w:w="845" w:type="dxa"/>
            <w:tcBorders/>
            <w:shd w:fill="CCEEFF" w:val="clear"/>
            <w:vAlign w:val="center"/>
          </w:tcPr>
          <w:p>
            <w:pPr>
              <w:pStyle w:val="TableContents"/>
              <w:bidi w:val="0"/>
              <w:spacing w:before="0" w:after="283"/>
              <w:jc w:val="center"/>
              <w:rPr/>
            </w:pPr>
            <w:r>
              <w:rPr/>
              <w:t>(9,123)</w:t>
            </w:r>
          </w:p>
        </w:tc>
        <w:tc>
          <w:tcPr>
            <w:tcW w:w="800" w:type="dxa"/>
            <w:tcBorders/>
            <w:shd w:fill="CCEEFF" w:val="clear"/>
            <w:vAlign w:val="center"/>
          </w:tcPr>
          <w:p>
            <w:pPr>
              <w:pStyle w:val="TableContents"/>
              <w:bidi w:val="0"/>
              <w:spacing w:before="0" w:after="283"/>
              <w:jc w:val="center"/>
              <w:rPr/>
            </w:pPr>
            <w:r>
              <w:rPr/>
              <w:t>42.3100</w:t>
            </w:r>
          </w:p>
        </w:tc>
        <w:tc>
          <w:tcPr>
            <w:tcW w:w="1115" w:type="dxa"/>
            <w:tcBorders/>
            <w:shd w:fill="CCEEFF" w:val="clear"/>
            <w:vAlign w:val="center"/>
          </w:tcPr>
          <w:p>
            <w:pPr>
              <w:pStyle w:val="TableContents"/>
              <w:bidi w:val="0"/>
              <w:spacing w:before="0" w:after="283"/>
              <w:jc w:val="center"/>
              <w:rPr/>
            </w:pPr>
            <w:r>
              <w:rPr/>
              <w:t>10/20/2026</w:t>
            </w:r>
          </w:p>
        </w:tc>
      </w:tr>
      <w:tr>
        <w:trPr/>
        <w:tc>
          <w:tcPr>
            <w:tcW w:w="845" w:type="dxa"/>
            <w:tcBorders/>
            <w:shd w:fill="FFFFFF" w:val="clear"/>
            <w:vAlign w:val="center"/>
          </w:tcPr>
          <w:p>
            <w:pPr>
              <w:pStyle w:val="TableContents"/>
              <w:bidi w:val="0"/>
              <w:spacing w:before="0" w:after="283"/>
              <w:jc w:val="center"/>
              <w:rPr/>
            </w:pPr>
            <w:r>
              <w:rPr/>
              <w:t>(66,935)</w:t>
            </w:r>
          </w:p>
        </w:tc>
        <w:tc>
          <w:tcPr>
            <w:tcW w:w="800" w:type="dxa"/>
            <w:tcBorders/>
            <w:shd w:fill="FFFFFF" w:val="clear"/>
            <w:vAlign w:val="center"/>
          </w:tcPr>
          <w:p>
            <w:pPr>
              <w:pStyle w:val="TableContents"/>
              <w:bidi w:val="0"/>
              <w:spacing w:before="0" w:after="283"/>
              <w:jc w:val="center"/>
              <w:rPr/>
            </w:pPr>
            <w:r>
              <w:rPr/>
              <w:t>41.1639</w:t>
            </w:r>
          </w:p>
        </w:tc>
        <w:tc>
          <w:tcPr>
            <w:tcW w:w="1115" w:type="dxa"/>
            <w:tcBorders/>
            <w:shd w:fill="FFFFFF" w:val="clear"/>
            <w:vAlign w:val="center"/>
          </w:tcPr>
          <w:p>
            <w:pPr>
              <w:pStyle w:val="TableContents"/>
              <w:bidi w:val="0"/>
              <w:spacing w:before="0" w:after="283"/>
              <w:jc w:val="center"/>
              <w:rPr/>
            </w:pPr>
            <w:r>
              <w:rPr/>
              <w:t>10/21/2026</w:t>
            </w:r>
          </w:p>
        </w:tc>
      </w:tr>
      <w:tr>
        <w:trPr/>
        <w:tc>
          <w:tcPr>
            <w:tcW w:w="845" w:type="dxa"/>
            <w:tcBorders/>
            <w:shd w:fill="CCEEFF" w:val="clear"/>
            <w:vAlign w:val="center"/>
          </w:tcPr>
          <w:p>
            <w:pPr>
              <w:pStyle w:val="TableContents"/>
              <w:bidi w:val="0"/>
              <w:spacing w:before="0" w:after="283"/>
              <w:jc w:val="center"/>
              <w:rPr/>
            </w:pPr>
            <w:r>
              <w:rPr/>
              <w:t>(1,538)</w:t>
            </w:r>
          </w:p>
        </w:tc>
        <w:tc>
          <w:tcPr>
            <w:tcW w:w="800" w:type="dxa"/>
            <w:tcBorders/>
            <w:shd w:fill="CCEEFF" w:val="clear"/>
            <w:vAlign w:val="center"/>
          </w:tcPr>
          <w:p>
            <w:pPr>
              <w:pStyle w:val="TableContents"/>
              <w:bidi w:val="0"/>
              <w:spacing w:before="0" w:after="283"/>
              <w:jc w:val="center"/>
              <w:rPr/>
            </w:pPr>
            <w:r>
              <w:rPr/>
              <w:t>41.0214</w:t>
            </w:r>
          </w:p>
        </w:tc>
        <w:tc>
          <w:tcPr>
            <w:tcW w:w="1115" w:type="dxa"/>
            <w:tcBorders/>
            <w:shd w:fill="CCEEFF" w:val="clear"/>
            <w:vAlign w:val="center"/>
          </w:tcPr>
          <w:p>
            <w:pPr>
              <w:pStyle w:val="TableContents"/>
              <w:bidi w:val="0"/>
              <w:spacing w:before="0" w:after="283"/>
              <w:jc w:val="center"/>
              <w:rPr/>
            </w:pPr>
            <w:r>
              <w:rPr/>
              <w:t>10/22/2026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2016</Words>
  <Characters>10589</Characters>
  <CharactersWithSpaces>12403</CharactersWithSpaces>
  <Paragraphs>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