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26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262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Feng Xudong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436 SEVENTH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Koppers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PITTSBURGH</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15219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34.065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34.065</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411.891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("DERs") accrued with respect to additional restricted stock units ("RSUs") credited to the reporting person with respect to deferred compensation. Each DER is the economic equivalent of one share of Koppers Holdings Inc. common stock.</w:t>
      </w:r>
    </w:p>
    <w:p>
      <w:pPr>
        <w:spacing w:after="0" w:line="16" w:lineRule="exact"/>
        <w:rPr>
          <w:rFonts w:ascii="Times New Roman" w:cs="Times New Roman" w:eastAsia="Times New Roman" w:hAnsi="Times New Roman"/>
          <w:sz w:val="13"/>
          <w:szCs w:val="13"/>
          <w:color w:val="008000"/>
        </w:rPr>
      </w:pPr>
    </w:p>
    <w:p>
      <w:pPr>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Stephanie L. Apostolou,</w:t>
            </w:r>
          </w:p>
        </w:tc>
        <w:tc>
          <w:tcPr>
            <w:tcW w:w="3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 in 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63649" TargetMode="External"/><Relationship Id="rId14" Type="http://schemas.openxmlformats.org/officeDocument/2006/relationships/hyperlink" Target="http://www.sec.gov/cgi-bin/browse-edgar?action=getcompany&amp;CIK=000131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2026-06-17T15:13:53Z</dcterms:created>
  <dcterms:modified xsi:type="dcterms:W3CDTF">2026-06-17T15:13:53Z</dcterms:modified>
</cp:coreProperties>
</file>