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0001919175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7"/>
        <w:gridCol w:w="3928"/>
      </w:tblGrid>
      <w:tr>
        <w:trPr/>
        <w:tc>
          <w:tcPr>
            <w:tcW w:w="6277" w:type="dxa"/>
            <w:tcBorders/>
            <w:vAlign w:val="center"/>
          </w:tcPr>
          <w:p>
            <w:pPr>
              <w:pStyle w:val="TableContents"/>
              <w:bidi w:val="0"/>
              <w:spacing w:before="0" w:after="283"/>
              <w:jc w:val="left"/>
              <w:rPr/>
            </w:pPr>
            <w:r>
              <w:rPr/>
              <w:t>Name of Issuer</w:t>
            </w:r>
          </w:p>
        </w:tc>
        <w:tc>
          <w:tcPr>
            <w:tcW w:w="3928" w:type="dxa"/>
            <w:tcBorders/>
            <w:vAlign w:val="center"/>
          </w:tcPr>
          <w:p>
            <w:pPr>
              <w:pStyle w:val="TableContents"/>
              <w:bidi w:val="0"/>
              <w:spacing w:before="0" w:after="0"/>
              <w:jc w:val="left"/>
              <w:rPr/>
            </w:pPr>
            <w:r>
              <w:rPr/>
              <w:t>Koppers Holdings Inc.</w:t>
            </w:r>
          </w:p>
        </w:tc>
      </w:tr>
      <w:tr>
        <w:trPr/>
        <w:tc>
          <w:tcPr>
            <w:tcW w:w="6277" w:type="dxa"/>
            <w:tcBorders/>
            <w:vAlign w:val="center"/>
          </w:tcPr>
          <w:p>
            <w:pPr>
              <w:pStyle w:val="TableContents"/>
              <w:bidi w:val="0"/>
              <w:spacing w:before="0" w:after="283"/>
              <w:jc w:val="left"/>
              <w:rPr/>
            </w:pPr>
            <w:r>
              <w:rPr/>
              <w:t>SEC File Number</w:t>
            </w:r>
          </w:p>
        </w:tc>
        <w:tc>
          <w:tcPr>
            <w:tcW w:w="3928" w:type="dxa"/>
            <w:tcBorders/>
            <w:vAlign w:val="center"/>
          </w:tcPr>
          <w:p>
            <w:pPr>
              <w:pStyle w:val="TableContents"/>
              <w:bidi w:val="0"/>
              <w:spacing w:before="0" w:after="0"/>
              <w:jc w:val="left"/>
              <w:rPr/>
            </w:pPr>
            <w:r>
              <w:rPr/>
              <w:t>001-32737</w:t>
            </w:r>
          </w:p>
        </w:tc>
      </w:tr>
      <w:tr>
        <w:trPr/>
        <w:tc>
          <w:tcPr>
            <w:tcW w:w="6277" w:type="dxa"/>
            <w:tcBorders/>
            <w:vAlign w:val="center"/>
          </w:tcPr>
          <w:p>
            <w:pPr>
              <w:pStyle w:val="TableContents"/>
              <w:bidi w:val="0"/>
              <w:spacing w:before="0" w:after="283"/>
              <w:jc w:val="left"/>
              <w:rPr/>
            </w:pPr>
            <w:r>
              <w:rPr/>
              <w:t>Address of Issuer</w:t>
            </w:r>
          </w:p>
        </w:tc>
        <w:tc>
          <w:tcPr>
            <w:tcW w:w="3928" w:type="dxa"/>
            <w:tcBorders/>
            <w:vAlign w:val="center"/>
          </w:tcPr>
          <w:p>
            <w:pPr>
              <w:pStyle w:val="TableContents"/>
              <w:bidi w:val="0"/>
              <w:spacing w:before="0" w:after="0"/>
              <w:jc w:val="left"/>
              <w:rPr/>
            </w:pPr>
            <w:r>
              <w:rPr/>
              <w:t>436 SEVENTH AVENUE</w:t>
              <w:br/>
              <w:t>PITTSBURGH</w:t>
              <w:br/>
              <w:t xml:space="preserve">PENNSYLVANIA </w:t>
              <w:br/>
              <w:t>15219</w:t>
            </w:r>
          </w:p>
        </w:tc>
      </w:tr>
      <w:tr>
        <w:trPr/>
        <w:tc>
          <w:tcPr>
            <w:tcW w:w="6277" w:type="dxa"/>
            <w:tcBorders/>
            <w:vAlign w:val="center"/>
          </w:tcPr>
          <w:p>
            <w:pPr>
              <w:pStyle w:val="TableContents"/>
              <w:bidi w:val="0"/>
              <w:spacing w:before="0" w:after="283"/>
              <w:jc w:val="left"/>
              <w:rPr/>
            </w:pPr>
            <w:r>
              <w:rPr/>
              <w:t>Phone</w:t>
            </w:r>
          </w:p>
        </w:tc>
        <w:tc>
          <w:tcPr>
            <w:tcW w:w="3928" w:type="dxa"/>
            <w:tcBorders/>
            <w:vAlign w:val="center"/>
          </w:tcPr>
          <w:p>
            <w:pPr>
              <w:pStyle w:val="TableContents"/>
              <w:bidi w:val="0"/>
              <w:spacing w:before="0" w:after="0"/>
              <w:jc w:val="left"/>
              <w:rPr/>
            </w:pPr>
            <w:r>
              <w:rPr/>
              <w:t>412-227-2001</w:t>
            </w:r>
          </w:p>
        </w:tc>
      </w:tr>
      <w:tr>
        <w:trPr/>
        <w:tc>
          <w:tcPr>
            <w:tcW w:w="6277" w:type="dxa"/>
            <w:tcBorders/>
            <w:vAlign w:val="center"/>
          </w:tcPr>
          <w:p>
            <w:pPr>
              <w:pStyle w:val="TableContents"/>
              <w:bidi w:val="0"/>
              <w:spacing w:before="0" w:after="283"/>
              <w:jc w:val="left"/>
              <w:rPr/>
            </w:pPr>
            <w:r>
              <w:rPr/>
              <w:t>Name of Person for Whose Account the Securities are To Be Sold</w:t>
            </w:r>
          </w:p>
        </w:tc>
        <w:tc>
          <w:tcPr>
            <w:tcW w:w="3928" w:type="dxa"/>
            <w:tcBorders/>
            <w:vAlign w:val="center"/>
          </w:tcPr>
          <w:p>
            <w:pPr>
              <w:pStyle w:val="TableContents"/>
              <w:bidi w:val="0"/>
              <w:spacing w:before="0" w:after="0"/>
              <w:jc w:val="left"/>
              <w:rPr/>
            </w:pPr>
            <w:r>
              <w:rPr/>
              <w:t>Lucas Stephen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7" w:type="dxa"/>
            <w:tcBorders/>
            <w:vAlign w:val="center"/>
          </w:tcPr>
          <w:p>
            <w:pPr>
              <w:pStyle w:val="TableContents"/>
              <w:bidi w:val="0"/>
              <w:spacing w:before="0" w:after="283"/>
              <w:jc w:val="left"/>
              <w:rPr/>
            </w:pPr>
            <w:r>
              <w:rPr/>
              <w:t>Relationship to Issuer</w:t>
            </w:r>
          </w:p>
        </w:tc>
        <w:tc>
          <w:tcPr>
            <w:tcW w:w="39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1308</w:t>
            </w:r>
          </w:p>
        </w:tc>
        <w:tc>
          <w:tcPr>
            <w:tcW w:w="1380" w:type="dxa"/>
            <w:tcBorders/>
            <w:vAlign w:val="center"/>
          </w:tcPr>
          <w:p>
            <w:pPr>
              <w:pStyle w:val="TableContents"/>
              <w:bidi w:val="0"/>
              <w:spacing w:before="0" w:after="283"/>
              <w:jc w:val="left"/>
              <w:rPr/>
            </w:pPr>
            <w:r>
              <w:rPr/>
              <w:t>58275.44</w:t>
            </w:r>
          </w:p>
        </w:tc>
        <w:tc>
          <w:tcPr>
            <w:tcW w:w="1555" w:type="dxa"/>
            <w:tcBorders/>
            <w:vAlign w:val="center"/>
          </w:tcPr>
          <w:p>
            <w:pPr>
              <w:pStyle w:val="TableContents"/>
              <w:bidi w:val="0"/>
              <w:spacing w:before="0" w:after="283"/>
              <w:jc w:val="left"/>
              <w:rPr/>
            </w:pPr>
            <w:r>
              <w:rPr/>
              <w:t>18911568</w:t>
            </w:r>
          </w:p>
        </w:tc>
        <w:tc>
          <w:tcPr>
            <w:tcW w:w="1569" w:type="dxa"/>
            <w:tcBorders/>
            <w:vAlign w:val="center"/>
          </w:tcPr>
          <w:p>
            <w:pPr>
              <w:pStyle w:val="TableContents"/>
              <w:bidi w:val="0"/>
              <w:spacing w:before="0" w:after="283"/>
              <w:jc w:val="left"/>
              <w:rPr/>
            </w:pPr>
            <w:r>
              <w:rPr/>
              <w:t>08/12/2026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1308</w:t>
            </w:r>
          </w:p>
        </w:tc>
        <w:tc>
          <w:tcPr>
            <w:tcW w:w="1046" w:type="dxa"/>
            <w:tcBorders/>
            <w:vAlign w:val="center"/>
          </w:tcPr>
          <w:p>
            <w:pPr>
              <w:pStyle w:val="TableContents"/>
              <w:bidi w:val="0"/>
              <w:spacing w:before="0" w:after="283"/>
              <w:jc w:val="left"/>
              <w:rPr/>
            </w:pPr>
            <w:r>
              <w:rPr/>
              <w:t>04/11/2024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283"/>
              <w:jc w:val="left"/>
              <w:rPr>
                <w:sz w:val="4"/>
                <w:szCs w:val="4"/>
              </w:rPr>
            </w:pPr>
            <w:r>
              <w:rPr>
                <w:sz w:val="4"/>
                <w:szCs w:val="4"/>
              </w:rPr>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Daniel Tucci, as a duly authorized representative of Fidelity Brokerage Services LLC, as attorney-in-fact for Stephen Lucas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2979</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